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199</w:t>
      </w:r>
    </w:p>
    <w:p>
      <w:r>
        <w:t>Bundesgericht (BGE), 2006-12-31, DE</w:t>
      </w:r>
    </w:p>
    <w:p>
      <w:r>
        <w:rPr>
          <w:b/>
        </w:rPr>
        <w:t xml:space="preserve">Quelle: </w:t>
      </w:r>
      <w:r>
        <w:t>https://mcp.opencaselaw.ch/entscheid/bge_134 V 199</w:t>
      </w:r>
    </w:p>
    <w:p>
      <w:r>
        <w:t>FR: ATF 134 V 199</w:t>
      </w:r>
    </w:p>
    <w:p>
      <w:r>
        <w:t>IT: DTF 134 V 199</w:t>
      </w:r>
    </w:p>
    <w:p>
      <w:pPr>
        <w:pStyle w:val="Heading2"/>
      </w:pPr>
      <w:r>
        <w:t>Regeste</w:t>
      </w:r>
    </w:p>
    <w:p>
      <w:r>
        <w:t>Regeste Art. 95 BGG; Art. 73 Abs. 4 BVG (in Kraft bis 31. Dezember 2006). Das kantonale und kommunale öffentliche Berufsvorsorgerecht wird vom Bundesgericht frei überprüft, jedenfalls soweit es um die Bewilligung oder Verweigerung von Versicherungsleistungen geht (E. 1).</w:t>
      </w:r>
    </w:p>
    <w:p>
      <w:pPr>
        <w:pStyle w:val="Heading2"/>
      </w:pPr>
      <w:r>
        <w:t>Erwägungen</w:t>
      </w:r>
    </w:p>
    <w:p>
      <w:r>
        <w:rPr>
          <w:b/>
        </w:rPr>
        <w:t>E. 1.1</w:t>
      </w:r>
    </w:p>
    <w:p>
      <w:r>
        <w:t>Die Beschwerdeführerin gründet ihren Leistungsanspruch auf kantonales Recht, nämlich § 5 der Verordnung vom 5. Januar 1994 über die Leistungen der Versicherungskasse für das Staatspersonal an die Mitglieder des Regierungsrates (Leistungsverordnung; LS 177.24). Nach Auffassung des Beschwerdegegners kann das Bundesgericht die Anwendung dieser Verordnung nicht frei, sondern nur auf die Verletzung von Bundesrecht oder kantonalen verfassungsmässigen Rechten hin überprüfen. Dies ist in der Tat die ordentliche Kognition des Bundesgerichts im Rahmen der Anwendung kantonalen Rechts ( Art. 95 lit. a und c BGG ). BGE 134 V 199 S. 200</w:t>
      </w:r>
    </w:p>
    <w:p>
      <w:r>
        <w:rPr>
          <w:b/>
        </w:rPr>
        <w:t>E. 1.2</w:t>
      </w:r>
    </w:p>
    <w:p>
      <w:r>
        <w:t>Unter der Herrschaft des Bundesgesetzes vom 16. Dezember 1943 über die Organisation der Bundesrechtspflege (OG) hat indessen das Eidg. Versicherungsgericht in Streitigkeiten um die Bewilligung oder Verweigerung von Versicherungsleistungen der beruflichen Vorsorge auch die Anwendung kantonalen oder kommunalen öffentlichen Vorsorgerechts frei geprüft. Dies wurde mit der Gleichstellung von öffentlich- und privatrechtlichen Vorsorgeeinrichtungen begründet sowie mit der speziellen Verfahrensordnung des Art. 73 Abs. 4 BVG ( BGE 116 V 333 E. 2b S. 334 f.). Mit dem Inkrafttreten der Justizreform auf den 1. Januar 2007 wurde allerdings Art. 73 Abs. 4 BVG aufgehoben (AS 2006 S. 2197, 2278) mit der Begründung, der Rechtsschutz folge den allgemeinen Bestimmungen über die Bundesrechtspflege und bedürfe keiner spezialgesetzlichen Regelung (Botschaft des Bundesrates zur Totalrevision der Bundesrechtspflege vom 28. Februar 2001, BBl 2001 S. 4202 ff., 4460). Indessen ist das Anliegen einer Gleichbehandlung von öffentlich- und privatrechtlich Versicherten unverändert gültig. Hinzu kommt, dass auch das kantonale und kommunale Berufsvorsorgerecht sich an die Vorgaben des BVG zu halten hat ( Art. 48 Abs. 2 und Art. 49 BVG ) und gewissermassen als konkretisierende Gesetzgebung im Rahmen der weitgehend bundesrechtlich geregelten beruflichen Vorsorge (vgl. Art. 113 Abs. 1 BV ) betrachtet werden kann. Es rechtfertigt sich daher, auch unter der Herrschaft des BGG das kantonale und kommunale öffentliche Berufsvorsorgerecht frei zu überprüfen, jedenfalls soweit es um die Bewilligung oder Verweigerung von Versicherungsleistungen geht (ebenso SEILER/VON WERDT/GÜNGERICH, Bundesgerichtsgesetz [BGG], Bern 2007, N. 16 zu Art. 95 BGG ; MARKUS SCHOTT, Basler Kommentar zum BGG, Basel 2008, N. 46 zu Art. 95 BGG ). Das ist hier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